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（民事保全法第二十四条関係）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代表者の職務執行停止の有無・職務代行者選任の有無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wordWrap w:val="0"/>
        <w:overflowPunct w:val="0"/>
        <w:adjustRightInd w:val="0"/>
        <w:jc w:val="right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年　　月　　日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ind w:left="4620" w:leftChars="220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地縁による団体の名称　　</w:t>
      </w:r>
    </w:p>
    <w:p>
      <w:pPr>
        <w:pStyle w:val="0"/>
        <w:overflowPunct w:val="0"/>
        <w:adjustRightInd w:val="0"/>
        <w:ind w:left="4620" w:leftChars="220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="4620" w:leftChars="220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240"/>
          <w:kern w:val="0"/>
          <w:sz w:val="24"/>
          <w:fitText w:val="2400" w:id="1"/>
        </w:rPr>
        <w:t>代表者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fitText w:val="2400" w:id="1"/>
        </w:rPr>
        <w:t>名</w:t>
      </w:r>
      <w:r>
        <w:rPr>
          <w:rFonts w:hint="eastAsia" w:ascii="HG丸ｺﾞｼｯｸM-PRO" w:hAnsi="HG丸ｺﾞｼｯｸM-PRO" w:eastAsia="HG丸ｺﾞｼｯｸM-PRO"/>
          <w:sz w:val="24"/>
        </w:rPr>
        <w:t>　　</w:t>
      </w: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（１）裁判所による代表者の職務執行の停止の有無（　有　・　無　）</w:t>
      </w: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（２）裁判所による代表者の職務代表者選任の有無（　有　・　無　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73"/>
        <w:gridCol w:w="1155"/>
        <w:gridCol w:w="6657"/>
      </w:tblGrid>
      <w:tr>
        <w:trPr>
          <w:trHeight w:val="680" w:hRule="atLeast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有の場合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6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</w:t>
            </w:r>
          </w:p>
        </w:tc>
        <w:tc>
          <w:tcPr>
            <w:tcW w:w="6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ind w:leftChars="0" w:firstLineChars="0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※裁判所による代表者の職務執行の停止並びに職務代行者選任は、裁判所において民事保全法第２４条（仮処分の方法）により、仮処分命令の申立ての目的を達するために行う処分です。</w:t>
      </w:r>
    </w:p>
    <w:p>
      <w:pPr>
        <w:pStyle w:val="0"/>
        <w:overflowPunct w:val="0"/>
        <w:adjustRightInd w:val="0"/>
        <w:ind w:left="0" w:leftChars="0" w:firstLine="240" w:firstLineChars="100"/>
        <w:textAlignment w:val="baseline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sz w:val="24"/>
        </w:rPr>
        <w:t>該当の無い場合、「無」に○印をしてください。</w:t>
      </w: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2026-01-05T00:06:06Z</dcterms:modified>
  <cp:revision>0</cp:revision>
</cp:coreProperties>
</file>